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539</w:t>
      </w:r>
    </w:p>
    <w:p>
      <w:r>
        <w:t>Bundesgericht (BGE), 2007-06-22, FR</w:t>
      </w:r>
    </w:p>
    <w:p>
      <w:r>
        <w:rPr>
          <w:b/>
        </w:rPr>
        <w:t xml:space="preserve">Quelle: </w:t>
      </w:r>
      <w:r>
        <w:t>https://mcp.opencaselaw.ch/entscheid/bge_133 III 539</w:t>
      </w:r>
    </w:p>
    <w:p>
      <w:r>
        <w:t>FR: ATF 133 III 539</w:t>
      </w:r>
    </w:p>
    <w:p>
      <w:r>
        <w:t>IT: DTF 133 III 539</w:t>
      </w:r>
    </w:p>
    <w:p>
      <w:pPr>
        <w:pStyle w:val="Heading2"/>
      </w:pPr>
      <w:r>
        <w:t>Regeste</w:t>
      </w:r>
    </w:p>
    <w:p>
      <w:r>
        <w:t>Regeste Zivilgerichtsbarkeit. Immunität der internationalen Bediensteten von der Gerichtsbarkeit (Art. 31 des Wiener Übereinkommens vom 18. April 1961 über diplomatische Beziehungen). Die Zivilgerichtsbarkeit über eine Person bildet eine Prozessvoraussetzung, welche von Amtes wegen zu berücksichtigen ist (E. 4.2). Die Bestimmung des für die Prüfung der Prozessvoraussetzungen massgeblichen Zeitpunkts ist eine Frage des Bundesrechts, wenn sich die zu beachtende Prozessvoraussetzung selbst aus Bundesrecht ergibt. Um eine einheitliche Anwendung von Art. 31 des Wiener Übereinkommens über diplomatische Beziehungen zu gewährleisten, ist der massgebliche Zeitpunkt, in welchem die Zivilgerichtsbarkeit über eine Person gegeben sein muss, das Datum, an welchem das Sachurteil gefällt wird (E. 4.3-4.5). Anwendung dieses Grundsatzes im zu beurteilenden Fall (E. 4.6).</w:t>
      </w:r>
    </w:p>
    <w:p>
      <w:pPr>
        <w:pStyle w:val="Heading2"/>
      </w:pPr>
      <w:r>
        <w:t>Erwägungen</w:t>
      </w:r>
    </w:p>
    <w:p>
      <w:r>
        <w:rPr>
          <w:b/>
        </w:rPr>
        <w:t>E. 4.1</w:t>
      </w:r>
    </w:p>
    <w:p>
      <w:r>
        <w:t>D'après l'art. 31 al. 1 in principio de la Convention de Vienne, l'agent diplomatique jouit de l'immunité de juridiction civile et administrative de l'Etat accréditaire. Des exceptions sont prévues singulièrement pour les actions réelles ayant pour objet un immeuble privé sis sur le territoire de l'Etat accréditaire, à moins que l'agent diplomatique ne le possède pour le compte de l'Etat accréditant aux fins de sa mission (art. 31 al. 1 let. a).</w:t>
      </w:r>
    </w:p>
    <w:p>
      <w:r>
        <w:rPr>
          <w:b/>
        </w:rPr>
        <w:t>E. 4.2</w:t>
      </w:r>
    </w:p>
    <w:p>
      <w:r>
        <w:t>Le pouvoir de juridiction civile sur une personne est une condition de recevabilité de l'instance, laquelle doit être examinée d'office à chaque stade du procès ( ATF 130 III 430 consid. 3.1; OSKAR VOGEL/KARL SPÜHLER, Grundriss des Zivilprozessrechts und des internationalen Zivilprozessrechts der Schweiz, 8 e éd., chap. 7, ch. 73, p. 203; FABIENNE HOHL, Procédure civile, tome I, ch. 309; MAX KUMMER, Grundriss des Zivilprozessrechts, 4 e éd., p. 86; WALTHER J. HABSCHEID, Schweizeriches Zivilprozess- und Gerichtsorganisationsrecht, 2 e éd., ch. 126 et 363; le même , Droit judiciaire privé suisse, 2 e éd., p. 83, ch. 3a).</w:t>
      </w:r>
    </w:p>
    <w:p>
      <w:r>
        <w:rPr>
          <w:b/>
        </w:rPr>
        <w:t>E. 4.3</w:t>
      </w:r>
    </w:p>
    <w:p>
      <w:r>
        <w:t>Selon les principes généraux de la procédure civile, les conditions de recevabilité du procès doivent encore être réunies au moment du jugement au fond. En d'autres termes, il suffit qu'elles se réalisent jusqu'à ce terme ( ATF 116 II 209 consid. 2b/bb, ATF 116 II 9 consid. 5 p. 13; HOHL, op. cit., ch. 321; VOGEL/SPÜHLER, op. cit., chap. 7, ch. 85, p. 206; KUMMER, op. cit., p. 87; MAX GULDENER, Schweizerisches Zivilprozessrecht, 3 e éd., p. 229). S'il se révèle au moment du jugement que toutes les conditions de recevabilité n'étaient pas encore remplies au début de la litispendance, mais qu'elles se sont réalisées en cours d'instance, le juge doit entrer en matière sur l'action (HOHL, op. cit., ch. 321).</w:t>
      </w:r>
    </w:p>
    <w:p>
      <w:r>
        <w:rPr>
          <w:b/>
        </w:rPr>
        <w:t>E. 4.4</w:t>
      </w:r>
    </w:p>
    <w:p>
      <w:r>
        <w:t>Le point de savoir si le principe général de la procédure civile susrappelé relève, par sa nature, du droit fédéral n'a pour l'heure jamais été tranché explicitement par le Tribunal fédéral. Il faut notamment admettre que ce principe ressortit au droit fédéral si la condition de recevabilité du procès qu'il y a lieu d'observer en vertu dudit principe découle du droit fédéral, comme c'est le cas pour l'immunité de juridiction civile, quand bien même elle est réglée à l'art. 31 de la Convention de Vienne. L'application sûre et uniforme BGE 133 III 539 S. 543 de cette norme exige que ce principe de droit fédéral embrasse également le moment déterminant où le pouvoir de juridiction sur une personne doit être donné (cf. à propos de la reconnaissance de principes de droit fédéral non écrits de la procédure civile, ISAAK MEIER/ RUDOLF OTTOMANN, Prinzipiennormen und Verfahrensmaximen, Zurich 1993, p. 35 ss). La situation inverse des données de l'espèce, où, par hypothèse, les locataires ne pourraient pas se prévaloir de l'immunité de juridiction au début de la litispendance, mais seraient à même d'en bénéficier en cours de procès à la suite de l'obtention du statut diplomatique, démontre avec encore plus d'évidence la nécessité d'adopter cette conception. Pour que l'art. 31 de la Convention reçoive une application univoque, le moment déterminant en question doit correspondre dans tous les cantons à la date de la reddition du jugement au fond.</w:t>
      </w:r>
    </w:p>
    <w:p>
      <w:r>
        <w:rPr>
          <w:b/>
        </w:rPr>
        <w:t>E. 4.5</w:t>
      </w:r>
    </w:p>
    <w:p>
      <w:r>
        <w:t>Le moyen du recourant est donc une critique recevable du droit fédéral ( art. 95 let. a LTF [RS 173.110]). Dans cette mesure, rien ne s'oppose à ce qu'il soit entré en matière sur le présent recours.</w:t>
      </w:r>
    </w:p>
    <w:p>
      <w:r>
        <w:rPr>
          <w:b/>
        </w:rPr>
        <w:t>E. 4.6</w:t>
      </w:r>
    </w:p>
    <w:p>
      <w:r>
        <w:t>Le grief de la partie recourante doit sans conteste être admis. La question de l'existence d'une immunité de la partie défenderesse doit être tranchée préjudiciellement dans le cadre de l'examen des conditions de recevabilité de la demande. En effet, celui qui invoque son immunité de juridiction ne doit pas être contraint à procéder sur le fond ( ATF 124 III 382 consid. 3b). C'est bien ce qu'a fait la cour cantonale en l'occurrence en statuant d'entrée de cause sur l'immunité prétendue des locataires. Comme on l'a vu ci-dessus (cf. consid. 4.2 à 4.4), il suffisait que le pouvoir de juridiction sur les intimés existât lorsque le jugement sur le fond a été rendu. Or c'était bien le cas, du moment qu'après que le demandeur a ouvert action le 8 juillet 2005 devant le Tribunal des baux et loyers, l'immunité de juridiction civile de dame Z. a été levée par décision du 22 décembre 2005. Autrement dit, les défendeurs ne pouvaient plus se prévaloir d'une quelconque immunité à la date déterminante du 28 mars 2006, à savoir quand l'autorité judiciaire précitée a statué au fond et prononcé leur évacuation immédiate des locaux qu'ils occupent (cf. BERNARD BERTOSSA/LOUIS GAILLARD/JACQUES GUYET/ANDRÉ SCHMIDT, Commentaire de la loi de procédure civile du canton de Genève du 10 avril 1987, n. 2bb ad art. 97 LPC ). L'arrêt cantonal sur lequel la Chambre d'appel a fondé son opinion divergente (SJ 1968 p. 264 ss) repose sur un état de fait différent, en BGE 133 III 539 S. 544 ce sens que, dans ce précédent, l'immunité était donnée lorsque le jugement de première instance a été rendu, alors qu'elle n'existait précisément plus à ce moment précis dans la présente querelle. Les intimés ne font pas valoir qu'à considérer l'exception d'immunité de juridiction dont ils se sont prévalus devant le Tribunal des baux et loyers, ils n'ont pas été en mesure de s'exprimer sur le fond, c'est-à-dire sur le mérite de la requête d'évacuation formée par le recourant. Au vu de ce qui précède, il est déterminant qu'au moment où les premiers juges ont statué, le pouvoir de juridiction sur les intimés était réalisé. C'était donc à bon droit que ces magistrats avaient déclaré recevable la demande en évacuation déposée contre les locataires. Pour l'avoir méconnu, la cour cantonale a violé le droit fédéral. Il se justifie en conséquence d'annuler l'arrêt déféré et de lui retourner la cause pour qu'elle se prononce sur la demande d'évacuation.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